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left" w:pos="2505"/>
          <w:tab w:val="center" w:pos="4320"/>
        </w:tabs>
        <w:jc w:val="left"/>
        <w:rPr>
          <w:sz w:val="28"/>
          <w:szCs w:val="28"/>
        </w:rPr>
      </w:pPr>
      <w:r>
        <w:drawing>
          <wp:anchor distT="0" distB="0" distL="114300" distR="114300" simplePos="0" relativeHeight="251659264" behindDoc="1" locked="0" layoutInCell="1" allowOverlap="1">
            <wp:simplePos x="0" y="0"/>
            <wp:positionH relativeFrom="column">
              <wp:posOffset>-419100</wp:posOffset>
            </wp:positionH>
            <wp:positionV relativeFrom="paragraph">
              <wp:posOffset>-95250</wp:posOffset>
            </wp:positionV>
            <wp:extent cx="828675" cy="857250"/>
            <wp:effectExtent l="19050" t="0" r="9525"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BC Seal - Large - Original"/>
                    <pic:cNvPicPr>
                      <a:picLocks noChangeAspect="1" noChangeArrowheads="1"/>
                    </pic:cNvPicPr>
                  </pic:nvPicPr>
                  <pic:blipFill>
                    <a:blip r:embed="rId6" cstate="print"/>
                    <a:srcRect/>
                    <a:stretch>
                      <a:fillRect/>
                    </a:stretch>
                  </pic:blipFill>
                  <pic:spPr>
                    <a:xfrm>
                      <a:off x="0" y="0"/>
                      <a:ext cx="828675" cy="857250"/>
                    </a:xfrm>
                    <a:prstGeom prst="rect">
                      <a:avLst/>
                    </a:prstGeom>
                    <a:noFill/>
                  </pic:spPr>
                </pic:pic>
              </a:graphicData>
            </a:graphic>
          </wp:anchor>
        </w:drawing>
      </w:r>
      <w:r>
        <w:tab/>
      </w:r>
      <w:r>
        <w:tab/>
      </w:r>
      <w:r>
        <w:rPr>
          <w:sz w:val="28"/>
          <w:szCs w:val="28"/>
        </w:rPr>
        <w:t>Benedict College</w:t>
      </w:r>
    </w:p>
    <w:p>
      <w:pPr>
        <w:pStyle w:val="19"/>
      </w:pPr>
      <w:r>
        <w:t>Tyrone Adam Burroughs School of Business and Entrepreneurship</w:t>
      </w:r>
    </w:p>
    <w:p>
      <w:pPr>
        <w:pStyle w:val="19"/>
      </w:pPr>
      <w:r>
        <w:t>Business Administration Department</w:t>
      </w:r>
    </w:p>
    <w:p>
      <w:pPr>
        <w:pStyle w:val="19"/>
        <w:rPr>
          <w:rFonts w:hint="default"/>
          <w:lang w:val="en-US"/>
        </w:rPr>
      </w:pPr>
      <w:r>
        <w:rPr>
          <w:rFonts w:hint="default"/>
          <w:lang w:val="en-US"/>
        </w:rPr>
        <w:t>Raymond Lee</w:t>
      </w:r>
    </w:p>
    <w:p>
      <w:pPr>
        <w:pStyle w:val="19"/>
      </w:pPr>
      <w:r>
        <w:t>Course Syllabus</w:t>
      </w:r>
    </w:p>
    <w:p>
      <w:pPr>
        <w:pStyle w:val="19"/>
      </w:pPr>
    </w:p>
    <w:p>
      <w:pPr>
        <w:jc w:val="center"/>
        <w:rPr>
          <w:b/>
          <w:sz w:val="36"/>
          <w:szCs w:val="36"/>
        </w:rPr>
      </w:pPr>
      <w:r>
        <w:rPr>
          <w:rFonts w:hint="default"/>
          <w:b/>
          <w:sz w:val="36"/>
          <w:szCs w:val="36"/>
          <w:lang w:val="en-US"/>
        </w:rPr>
        <w:t>Research Project</w:t>
      </w:r>
      <w:r>
        <w:rPr>
          <w:b/>
          <w:sz w:val="36"/>
          <w:szCs w:val="36"/>
        </w:rPr>
        <w:t xml:space="preserve"> II</w:t>
      </w:r>
    </w:p>
    <w:p>
      <w:pPr>
        <w:jc w:val="center"/>
        <w:rPr>
          <w:rFonts w:hint="default"/>
          <w:sz w:val="24"/>
          <w:szCs w:val="24"/>
          <w:lang w:val="en-US"/>
        </w:rPr>
      </w:pPr>
      <w:r>
        <w:rPr>
          <w:b/>
          <w:sz w:val="24"/>
          <w:szCs w:val="24"/>
        </w:rPr>
        <w:t>Course ID:</w:t>
      </w:r>
      <w:r>
        <w:rPr>
          <w:sz w:val="24"/>
          <w:szCs w:val="24"/>
        </w:rPr>
        <w:t xml:space="preserve"> B</w:t>
      </w:r>
      <w:r>
        <w:rPr>
          <w:rFonts w:hint="default"/>
          <w:sz w:val="24"/>
          <w:szCs w:val="24"/>
          <w:lang w:val="en-US"/>
        </w:rPr>
        <w:t>A 332 01</w:t>
      </w:r>
      <w:bookmarkStart w:id="0" w:name="_GoBack"/>
      <w:bookmarkEnd w:id="0"/>
    </w:p>
    <w:p>
      <w:pPr>
        <w:jc w:val="center"/>
        <w:rPr>
          <w:b/>
          <w:sz w:val="24"/>
          <w:szCs w:val="24"/>
        </w:rPr>
      </w:pPr>
    </w:p>
    <w:p>
      <w:pPr>
        <w:pStyle w:val="19"/>
      </w:pPr>
    </w:p>
    <w:p>
      <w:pPr>
        <w:pStyle w:val="10"/>
        <w:spacing w:before="5"/>
        <w:ind w:left="101" w:right="115"/>
        <w:rPr>
          <w:rFonts w:hint="default"/>
          <w:sz w:val="24"/>
          <w:szCs w:val="24"/>
          <w:lang w:val="en-US"/>
        </w:rPr>
      </w:pPr>
      <w:r>
        <w:rPr>
          <w:b/>
          <w:sz w:val="24"/>
          <w:szCs w:val="24"/>
          <w:u w:val="single"/>
        </w:rPr>
        <w:t>Course Catalogue Description</w:t>
      </w:r>
      <w:r>
        <w:rPr>
          <w:sz w:val="24"/>
          <w:szCs w:val="24"/>
        </w:rPr>
        <w:t xml:space="preserve">:  </w:t>
      </w:r>
      <w:r>
        <w:rPr>
          <w:rFonts w:hint="default"/>
          <w:sz w:val="24"/>
          <w:szCs w:val="24"/>
          <w:lang w:val="en-US"/>
        </w:rPr>
        <w:t>Students in this course will review, edit, and finalize the components of their research project. Prerequisite: BA 331; PHE 337; or SBS 330</w:t>
      </w:r>
    </w:p>
    <w:p>
      <w:pPr>
        <w:pStyle w:val="19"/>
      </w:pPr>
    </w:p>
    <w:p>
      <w:pPr>
        <w:rPr>
          <w:sz w:val="24"/>
          <w:szCs w:val="24"/>
        </w:rPr>
      </w:pPr>
      <w:r>
        <w:rPr>
          <w:b/>
          <w:sz w:val="24"/>
          <w:szCs w:val="24"/>
          <w:u w:val="single"/>
        </w:rPr>
        <w:t>Student Learning Outcomes</w:t>
      </w:r>
      <w:r>
        <w:rPr>
          <w:sz w:val="24"/>
          <w:szCs w:val="24"/>
        </w:rPr>
        <w:t>:  Through course study, individual research and practical experiences each student will be able to:</w:t>
      </w:r>
    </w:p>
    <w:p>
      <w:pPr>
        <w:numPr>
          <w:ilvl w:val="0"/>
          <w:numId w:val="1"/>
        </w:numPr>
        <w:rPr>
          <w:sz w:val="24"/>
          <w:szCs w:val="24"/>
        </w:rPr>
      </w:pPr>
      <w:r>
        <w:rPr>
          <w:rFonts w:hint="default"/>
          <w:sz w:val="24"/>
          <w:szCs w:val="24"/>
          <w:lang w:val="en-US"/>
        </w:rPr>
        <w:t>Develop strong editing skills</w:t>
      </w:r>
    </w:p>
    <w:p>
      <w:pPr>
        <w:numPr>
          <w:ilvl w:val="0"/>
          <w:numId w:val="1"/>
        </w:numPr>
        <w:rPr>
          <w:sz w:val="24"/>
          <w:szCs w:val="24"/>
        </w:rPr>
      </w:pPr>
      <w:r>
        <w:rPr>
          <w:rFonts w:hint="default"/>
          <w:sz w:val="24"/>
          <w:szCs w:val="24"/>
          <w:lang w:val="en-US"/>
        </w:rPr>
        <w:t>Develop strong critiquing skills</w:t>
      </w:r>
    </w:p>
    <w:p>
      <w:pPr>
        <w:numPr>
          <w:ilvl w:val="0"/>
          <w:numId w:val="1"/>
        </w:numPr>
        <w:rPr>
          <w:sz w:val="24"/>
          <w:szCs w:val="24"/>
        </w:rPr>
      </w:pPr>
      <w:r>
        <w:rPr>
          <w:rFonts w:hint="default"/>
          <w:sz w:val="24"/>
          <w:szCs w:val="24"/>
          <w:lang w:val="en-US"/>
        </w:rPr>
        <w:t>Synthesize and integrate multiple components into a cohesive complete document</w:t>
      </w:r>
    </w:p>
    <w:p>
      <w:pPr>
        <w:ind w:left="720"/>
        <w:rPr>
          <w:sz w:val="24"/>
          <w:szCs w:val="24"/>
        </w:rPr>
      </w:pPr>
    </w:p>
    <w:p>
      <w:pPr>
        <w:rPr>
          <w:sz w:val="24"/>
          <w:szCs w:val="24"/>
        </w:rPr>
      </w:pPr>
      <w:r>
        <w:rPr>
          <w:b/>
          <w:sz w:val="24"/>
          <w:szCs w:val="24"/>
          <w:u w:val="single"/>
        </w:rPr>
        <w:t>Course Requirements</w:t>
      </w:r>
      <w:r>
        <w:rPr>
          <w:sz w:val="24"/>
          <w:szCs w:val="24"/>
        </w:rPr>
        <w:t xml:space="preserve">:  </w:t>
      </w:r>
    </w:p>
    <w:p>
      <w:pPr>
        <w:numPr>
          <w:ilvl w:val="0"/>
          <w:numId w:val="2"/>
        </w:numPr>
      </w:pPr>
      <w:r>
        <w:rPr>
          <w:b/>
          <w:sz w:val="24"/>
          <w:szCs w:val="24"/>
        </w:rPr>
        <w:t>Required Text</w:t>
      </w:r>
      <w:r>
        <w:rPr>
          <w:sz w:val="24"/>
          <w:szCs w:val="24"/>
        </w:rPr>
        <w:t xml:space="preserve">:  </w:t>
      </w:r>
      <w:r>
        <w:rPr>
          <w:rFonts w:hint="default"/>
          <w:sz w:val="24"/>
          <w:szCs w:val="24"/>
          <w:lang w:val="en-US"/>
        </w:rPr>
        <w:t>No Text.  All materials will be uploaded unless otherwise stated.</w:t>
      </w:r>
    </w:p>
    <w:p>
      <w:pPr>
        <w:numPr>
          <w:ilvl w:val="0"/>
          <w:numId w:val="2"/>
        </w:numPr>
        <w:rPr>
          <w:sz w:val="24"/>
          <w:szCs w:val="24"/>
        </w:rPr>
      </w:pPr>
      <w:r>
        <w:rPr>
          <w:b/>
          <w:sz w:val="24"/>
          <w:szCs w:val="24"/>
        </w:rPr>
        <w:t>Edvance360 Information</w:t>
      </w:r>
      <w:r>
        <w:rPr>
          <w:sz w:val="24"/>
          <w:szCs w:val="24"/>
        </w:rPr>
        <w:t>:  All assignments will be disseminated via</w:t>
      </w:r>
      <w:r>
        <w:rPr>
          <w:rFonts w:hint="default"/>
          <w:sz w:val="24"/>
          <w:szCs w:val="24"/>
          <w:lang w:val="en-US"/>
        </w:rPr>
        <w:t xml:space="preserve"> Drop Box or Discussion Post in the Learning Modules.</w:t>
      </w:r>
    </w:p>
    <w:p>
      <w:pPr>
        <w:rPr>
          <w:b/>
          <w:bCs/>
          <w:szCs w:val="24"/>
        </w:rPr>
      </w:pPr>
    </w:p>
    <w:p>
      <w:pPr>
        <w:rPr>
          <w:rFonts w:hint="default"/>
          <w:bCs/>
          <w:sz w:val="24"/>
          <w:szCs w:val="24"/>
          <w:lang w:val="en-US"/>
        </w:rPr>
      </w:pPr>
      <w:r>
        <w:rPr>
          <w:b/>
          <w:sz w:val="24"/>
          <w:szCs w:val="24"/>
          <w:u w:val="single"/>
        </w:rPr>
        <w:t>Method of Instruction</w:t>
      </w:r>
      <w:r>
        <w:rPr>
          <w:sz w:val="24"/>
          <w:szCs w:val="24"/>
        </w:rPr>
        <w:t xml:space="preserve">:  </w:t>
      </w:r>
      <w:r>
        <w:rPr>
          <w:bCs/>
          <w:sz w:val="24"/>
          <w:szCs w:val="24"/>
        </w:rPr>
        <w:t>Th</w:t>
      </w:r>
      <w:r>
        <w:rPr>
          <w:rFonts w:hint="default"/>
          <w:bCs/>
          <w:sz w:val="24"/>
          <w:szCs w:val="24"/>
          <w:lang w:val="en-US"/>
        </w:rPr>
        <w:t>is class will have very little traditional class room lectures.  The intent of this class is to guide the student to those resources and information sources that will be of service in helping with information and data acquisition and research project completion.  Because the typical student in this class should be at a very advanced stage, and near graduation, this class will focus on those activities that will aid in beginning the Senior Project.</w:t>
      </w:r>
    </w:p>
    <w:p>
      <w:pPr>
        <w:rPr>
          <w:sz w:val="24"/>
          <w:szCs w:val="24"/>
        </w:rPr>
      </w:pPr>
    </w:p>
    <w:p>
      <w:pPr>
        <w:rPr>
          <w:sz w:val="24"/>
          <w:szCs w:val="24"/>
        </w:rPr>
      </w:pPr>
      <w:r>
        <w:rPr>
          <w:b/>
          <w:sz w:val="24"/>
          <w:szCs w:val="24"/>
          <w:u w:val="single"/>
        </w:rPr>
        <w:t>Course Evaluation</w:t>
      </w:r>
      <w:r>
        <w:rPr>
          <w:sz w:val="24"/>
          <w:szCs w:val="24"/>
        </w:rPr>
        <w:t xml:space="preserve">:  </w:t>
      </w:r>
      <w:r>
        <w:rPr>
          <w:bCs/>
          <w:sz w:val="24"/>
          <w:szCs w:val="24"/>
        </w:rPr>
        <w:t>Students will be evaluated using the following tools and grading scales:</w:t>
      </w:r>
      <w:r>
        <w:rPr>
          <w:sz w:val="24"/>
          <w:szCs w:val="24"/>
        </w:rPr>
        <w:t xml:space="preserve"> </w:t>
      </w:r>
    </w:p>
    <w:p>
      <w:pPr>
        <w:rPr>
          <w:sz w:val="24"/>
          <w:szCs w:val="24"/>
        </w:rPr>
      </w:pPr>
    </w:p>
    <w:p>
      <w:pPr>
        <w:rPr>
          <w:sz w:val="24"/>
          <w:szCs w:val="24"/>
        </w:rPr>
      </w:pPr>
      <w:r>
        <w:rPr>
          <w:sz w:val="24"/>
          <w:szCs w:val="24"/>
        </w:rPr>
        <w:t>Benedict College Grading Scale:</w:t>
      </w:r>
    </w:p>
    <w:p>
      <w:pPr>
        <w:rPr>
          <w:rFonts w:hint="default"/>
          <w:sz w:val="24"/>
          <w:szCs w:val="24"/>
          <w:lang w:val="en-US"/>
        </w:rPr>
      </w:pPr>
      <w:r>
        <w:rPr>
          <w:sz w:val="24"/>
          <w:szCs w:val="24"/>
        </w:rPr>
        <w:t>A</w:t>
      </w:r>
      <w:r>
        <w:rPr>
          <w:sz w:val="24"/>
          <w:szCs w:val="24"/>
        </w:rPr>
        <w:tab/>
      </w:r>
      <w:r>
        <w:rPr>
          <w:sz w:val="24"/>
          <w:szCs w:val="24"/>
        </w:rPr>
        <w:t>Superior</w:t>
      </w:r>
      <w:r>
        <w:rPr>
          <w:sz w:val="24"/>
          <w:szCs w:val="24"/>
        </w:rPr>
        <w:tab/>
      </w:r>
      <w:r>
        <w:rPr>
          <w:sz w:val="24"/>
          <w:szCs w:val="24"/>
        </w:rPr>
        <w:tab/>
      </w:r>
      <w:r>
        <w:rPr>
          <w:sz w:val="24"/>
          <w:szCs w:val="24"/>
        </w:rPr>
        <w:t>90 – 100</w:t>
      </w:r>
      <w:r>
        <w:rPr>
          <w:sz w:val="24"/>
          <w:szCs w:val="24"/>
        </w:rPr>
        <w:tab/>
      </w:r>
      <w:r>
        <w:rPr>
          <w:sz w:val="24"/>
          <w:szCs w:val="24"/>
        </w:rPr>
        <w:t>(90 – 100 points)</w:t>
      </w:r>
      <w:r>
        <w:rPr>
          <w:rFonts w:hint="default"/>
          <w:sz w:val="24"/>
          <w:szCs w:val="24"/>
          <w:lang w:val="en-US"/>
        </w:rPr>
        <w:t xml:space="preserve">  </w:t>
      </w:r>
      <w:r>
        <w:rPr>
          <w:rFonts w:hint="default"/>
          <w:sz w:val="20"/>
          <w:szCs w:val="20"/>
          <w:lang w:val="en-US"/>
        </w:rPr>
        <w:t>well constructed document</w:t>
      </w:r>
      <w:r>
        <w:rPr>
          <w:rFonts w:hint="default"/>
          <w:sz w:val="24"/>
          <w:szCs w:val="24"/>
          <w:lang w:val="en-US"/>
        </w:rPr>
        <w:t xml:space="preserve"> </w:t>
      </w:r>
    </w:p>
    <w:p>
      <w:pPr>
        <w:rPr>
          <w:rFonts w:hint="default"/>
          <w:sz w:val="20"/>
          <w:szCs w:val="20"/>
          <w:lang w:val="en-US"/>
        </w:rPr>
      </w:pPr>
      <w:r>
        <w:rPr>
          <w:sz w:val="24"/>
          <w:szCs w:val="24"/>
        </w:rPr>
        <w:t>B</w:t>
      </w:r>
      <w:r>
        <w:rPr>
          <w:sz w:val="24"/>
          <w:szCs w:val="24"/>
        </w:rPr>
        <w:tab/>
      </w:r>
      <w:r>
        <w:rPr>
          <w:sz w:val="24"/>
          <w:szCs w:val="24"/>
        </w:rPr>
        <w:t>Very Good</w:t>
      </w:r>
      <w:r>
        <w:rPr>
          <w:sz w:val="24"/>
          <w:szCs w:val="24"/>
        </w:rPr>
        <w:tab/>
      </w:r>
      <w:r>
        <w:rPr>
          <w:sz w:val="24"/>
          <w:szCs w:val="24"/>
        </w:rPr>
        <w:tab/>
      </w:r>
      <w:r>
        <w:rPr>
          <w:sz w:val="24"/>
          <w:szCs w:val="24"/>
        </w:rPr>
        <w:t>80 – 89</w:t>
      </w:r>
      <w:r>
        <w:rPr>
          <w:sz w:val="24"/>
          <w:szCs w:val="24"/>
        </w:rPr>
        <w:tab/>
      </w:r>
      <w:r>
        <w:rPr>
          <w:sz w:val="24"/>
          <w:szCs w:val="24"/>
        </w:rPr>
        <w:t>(80 – 89 points)</w:t>
      </w:r>
      <w:r>
        <w:rPr>
          <w:rFonts w:hint="default"/>
          <w:sz w:val="24"/>
          <w:szCs w:val="24"/>
          <w:lang w:val="en-US"/>
        </w:rPr>
        <w:t xml:space="preserve">    </w:t>
      </w:r>
      <w:r>
        <w:rPr>
          <w:rFonts w:hint="default"/>
          <w:sz w:val="20"/>
          <w:szCs w:val="20"/>
          <w:lang w:val="en-US"/>
        </w:rPr>
        <w:t>good, but some mistakes</w:t>
      </w:r>
    </w:p>
    <w:p>
      <w:pPr>
        <w:rPr>
          <w:rFonts w:hint="default"/>
          <w:sz w:val="20"/>
          <w:szCs w:val="20"/>
          <w:lang w:val="en-US"/>
        </w:rPr>
      </w:pPr>
      <w:r>
        <w:rPr>
          <w:sz w:val="24"/>
          <w:szCs w:val="24"/>
        </w:rPr>
        <w:t>C</w:t>
      </w:r>
      <w:r>
        <w:rPr>
          <w:sz w:val="24"/>
          <w:szCs w:val="24"/>
        </w:rPr>
        <w:tab/>
      </w:r>
      <w:r>
        <w:rPr>
          <w:sz w:val="24"/>
          <w:szCs w:val="24"/>
        </w:rPr>
        <w:t>Acceptable</w:t>
      </w:r>
      <w:r>
        <w:rPr>
          <w:sz w:val="24"/>
          <w:szCs w:val="24"/>
        </w:rPr>
        <w:tab/>
      </w:r>
      <w:r>
        <w:rPr>
          <w:sz w:val="24"/>
          <w:szCs w:val="24"/>
        </w:rPr>
        <w:tab/>
      </w:r>
      <w:r>
        <w:rPr>
          <w:sz w:val="24"/>
          <w:szCs w:val="24"/>
        </w:rPr>
        <w:t>70 – 79</w:t>
      </w:r>
      <w:r>
        <w:rPr>
          <w:sz w:val="24"/>
          <w:szCs w:val="24"/>
        </w:rPr>
        <w:tab/>
      </w:r>
      <w:r>
        <w:rPr>
          <w:sz w:val="24"/>
          <w:szCs w:val="24"/>
        </w:rPr>
        <w:t>(70 – 79 points)</w:t>
      </w:r>
      <w:r>
        <w:rPr>
          <w:rFonts w:hint="default"/>
          <w:sz w:val="20"/>
          <w:szCs w:val="20"/>
          <w:lang w:val="en-US"/>
        </w:rPr>
        <w:t xml:space="preserve">     average quality</w:t>
      </w:r>
    </w:p>
    <w:p>
      <w:pPr>
        <w:rPr>
          <w:rFonts w:hint="default"/>
          <w:sz w:val="20"/>
          <w:szCs w:val="20"/>
          <w:lang w:val="en-US"/>
        </w:rPr>
      </w:pPr>
      <w:r>
        <w:rPr>
          <w:sz w:val="24"/>
          <w:szCs w:val="24"/>
        </w:rPr>
        <w:t>D</w:t>
      </w:r>
      <w:r>
        <w:rPr>
          <w:sz w:val="24"/>
          <w:szCs w:val="24"/>
        </w:rPr>
        <w:tab/>
      </w:r>
      <w:r>
        <w:rPr>
          <w:sz w:val="24"/>
          <w:szCs w:val="24"/>
        </w:rPr>
        <w:t>Passing but Weak</w:t>
      </w:r>
      <w:r>
        <w:rPr>
          <w:sz w:val="24"/>
          <w:szCs w:val="24"/>
        </w:rPr>
        <w:tab/>
      </w:r>
      <w:r>
        <w:rPr>
          <w:sz w:val="24"/>
          <w:szCs w:val="24"/>
        </w:rPr>
        <w:t>60 – 69</w:t>
      </w:r>
      <w:r>
        <w:rPr>
          <w:sz w:val="24"/>
          <w:szCs w:val="24"/>
        </w:rPr>
        <w:tab/>
      </w:r>
      <w:r>
        <w:rPr>
          <w:sz w:val="24"/>
          <w:szCs w:val="24"/>
        </w:rPr>
        <w:t>(60 – 69 points)</w:t>
      </w:r>
      <w:r>
        <w:rPr>
          <w:rFonts w:hint="default"/>
          <w:sz w:val="20"/>
          <w:szCs w:val="20"/>
          <w:lang w:val="en-US"/>
        </w:rPr>
        <w:t xml:space="preserve">     poor quality; many mistakes</w:t>
      </w:r>
    </w:p>
    <w:p>
      <w:pPr>
        <w:rPr>
          <w:rFonts w:hint="default"/>
          <w:sz w:val="20"/>
          <w:szCs w:val="20"/>
          <w:lang w:val="en-US"/>
        </w:rPr>
      </w:pPr>
      <w:r>
        <w:rPr>
          <w:sz w:val="24"/>
          <w:szCs w:val="24"/>
        </w:rPr>
        <w:t>F</w:t>
      </w:r>
      <w:r>
        <w:rPr>
          <w:sz w:val="24"/>
          <w:szCs w:val="24"/>
        </w:rPr>
        <w:tab/>
      </w:r>
      <w:r>
        <w:rPr>
          <w:sz w:val="24"/>
          <w:szCs w:val="24"/>
        </w:rPr>
        <w:t>Unsatisfactory</w:t>
      </w:r>
      <w:r>
        <w:rPr>
          <w:sz w:val="24"/>
          <w:szCs w:val="24"/>
        </w:rPr>
        <w:tab/>
      </w:r>
      <w:r>
        <w:rPr>
          <w:sz w:val="24"/>
          <w:szCs w:val="24"/>
        </w:rPr>
        <w:tab/>
      </w:r>
      <w:r>
        <w:rPr>
          <w:rFonts w:hint="default"/>
          <w:sz w:val="24"/>
          <w:szCs w:val="24"/>
          <w:lang w:val="en-US"/>
        </w:rPr>
        <w:t xml:space="preserve">    &lt;</w:t>
      </w:r>
      <w:r>
        <w:rPr>
          <w:sz w:val="24"/>
          <w:szCs w:val="24"/>
        </w:rPr>
        <w:t xml:space="preserve"> 60</w:t>
      </w:r>
      <w:r>
        <w:rPr>
          <w:sz w:val="24"/>
          <w:szCs w:val="24"/>
        </w:rPr>
        <w:tab/>
      </w:r>
      <w:r>
        <w:rPr>
          <w:rFonts w:hint="default"/>
          <w:sz w:val="24"/>
          <w:szCs w:val="24"/>
          <w:lang w:val="en-US"/>
        </w:rPr>
        <w:t xml:space="preserve">            </w:t>
      </w:r>
      <w:r>
        <w:rPr>
          <w:sz w:val="24"/>
          <w:szCs w:val="24"/>
        </w:rPr>
        <w:t>(</w:t>
      </w:r>
      <w:r>
        <w:rPr>
          <w:rFonts w:hint="default"/>
          <w:sz w:val="24"/>
          <w:szCs w:val="24"/>
          <w:lang w:val="en-US"/>
        </w:rPr>
        <w:t>&lt;</w:t>
      </w:r>
      <w:r>
        <w:rPr>
          <w:sz w:val="24"/>
          <w:szCs w:val="24"/>
        </w:rPr>
        <w:t xml:space="preserve"> 60 points)</w:t>
      </w:r>
      <w:r>
        <w:rPr>
          <w:rFonts w:hint="default"/>
          <w:sz w:val="20"/>
          <w:szCs w:val="20"/>
          <w:lang w:val="en-US"/>
        </w:rPr>
        <w:t xml:space="preserve">           unacceptable quality</w:t>
      </w:r>
    </w:p>
    <w:p>
      <w:pPr>
        <w:rPr>
          <w:sz w:val="24"/>
          <w:szCs w:val="24"/>
          <w:u w:val="single"/>
        </w:rPr>
      </w:pPr>
    </w:p>
    <w:p>
      <w:pPr>
        <w:rPr>
          <w:smallCaps/>
          <w:sz w:val="24"/>
          <w:szCs w:val="24"/>
        </w:rPr>
      </w:pPr>
      <w:r>
        <w:rPr>
          <w:b/>
          <w:smallCaps/>
          <w:sz w:val="24"/>
          <w:szCs w:val="24"/>
        </w:rPr>
        <w:br w:type="page"/>
      </w:r>
      <w:r>
        <w:rPr>
          <w:b/>
          <w:smallCaps/>
          <w:sz w:val="24"/>
          <w:szCs w:val="24"/>
        </w:rPr>
        <w:t>College/Class Policies</w:t>
      </w:r>
      <w:r>
        <w:rPr>
          <w:smallCaps/>
          <w:sz w:val="24"/>
          <w:szCs w:val="24"/>
        </w:rPr>
        <w:t xml:space="preserve">: </w:t>
      </w:r>
    </w:p>
    <w:p>
      <w:pPr>
        <w:rPr>
          <w:smallCaps/>
          <w:sz w:val="24"/>
          <w:szCs w:val="24"/>
        </w:rPr>
      </w:pPr>
      <w:r>
        <w:rPr>
          <w:smallCaps/>
          <w:sz w:val="24"/>
          <w:szCs w:val="24"/>
        </w:rPr>
        <w:t xml:space="preserve"> </w:t>
      </w:r>
    </w:p>
    <w:p>
      <w:pPr>
        <w:rPr>
          <w:sz w:val="24"/>
          <w:szCs w:val="24"/>
        </w:rPr>
      </w:pPr>
      <w:r>
        <w:rPr>
          <w:b/>
          <w:smallCaps/>
          <w:sz w:val="24"/>
          <w:szCs w:val="24"/>
        </w:rPr>
        <w:t>Student Code of Academic Responsibility</w:t>
      </w:r>
      <w:r>
        <w:rPr>
          <w:smallCaps/>
          <w:sz w:val="24"/>
          <w:szCs w:val="24"/>
        </w:rPr>
        <w:t>:</w:t>
      </w:r>
      <w:r>
        <w:rPr>
          <w:sz w:val="24"/>
          <w:szCs w:val="24"/>
        </w:rPr>
        <w:t xml:space="preserve"> </w:t>
      </w:r>
    </w:p>
    <w:p>
      <w:pPr>
        <w:jc w:val="both"/>
        <w:rPr>
          <w:i/>
          <w:sz w:val="24"/>
          <w:szCs w:val="24"/>
        </w:rPr>
      </w:pPr>
      <w:r>
        <w:rPr>
          <w:sz w:val="24"/>
          <w:szCs w:val="24"/>
        </w:rPr>
        <w:t xml:space="preserve"> </w:t>
      </w:r>
      <w:r>
        <w:rPr>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pPr>
        <w:ind w:left="720"/>
        <w:jc w:val="both"/>
      </w:pPr>
      <w:r>
        <w:rPr>
          <w:sz w:val="24"/>
          <w:szCs w:val="24"/>
        </w:rPr>
        <w:tab/>
      </w:r>
      <w:r>
        <w:rPr>
          <w:sz w:val="24"/>
          <w:szCs w:val="24"/>
        </w:rPr>
        <w:tab/>
      </w:r>
      <w:r>
        <w:rPr>
          <w:sz w:val="24"/>
          <w:szCs w:val="24"/>
        </w:rPr>
        <w:tab/>
      </w:r>
      <w:r>
        <w:rPr>
          <w:sz w:val="24"/>
          <w:szCs w:val="24"/>
        </w:rPr>
        <w:tab/>
      </w:r>
      <w:r>
        <w:rPr>
          <w:sz w:val="24"/>
          <w:szCs w:val="24"/>
        </w:rPr>
        <w:t xml:space="preserve">-Benedict College Academic Catalogue </w:t>
      </w:r>
    </w:p>
    <w:p>
      <w:pPr>
        <w:ind w:left="720"/>
        <w:rPr>
          <w:sz w:val="24"/>
          <w:szCs w:val="24"/>
          <w:u w:val="single"/>
        </w:rPr>
      </w:pPr>
    </w:p>
    <w:p>
      <w:pPr>
        <w:rPr>
          <w:sz w:val="24"/>
          <w:szCs w:val="24"/>
        </w:rPr>
      </w:pPr>
      <w:r>
        <w:rPr>
          <w:b/>
          <w:smallCaps/>
          <w:sz w:val="24"/>
          <w:szCs w:val="24"/>
        </w:rPr>
        <w:t>Dress Code:</w:t>
      </w:r>
      <w:r>
        <w:rPr>
          <w:b/>
          <w:sz w:val="24"/>
          <w:szCs w:val="24"/>
        </w:rPr>
        <w:t xml:space="preserve">  </w:t>
      </w:r>
    </w:p>
    <w:p>
      <w:pPr>
        <w:pStyle w:val="16"/>
        <w:rPr>
          <w:i/>
          <w:szCs w:val="18"/>
        </w:rPr>
      </w:pPr>
      <w:r>
        <w:rPr>
          <w:i/>
          <w:szCs w:val="18"/>
        </w:rPr>
        <w:t>Students' dress at Benedict College should reflect high standards of personal self image so that each student may share in promoting a positive, healthy and safe atmosphere within the College community. The dress code is limited in time and place to College functions and educational facilities, including classrooms, the Cafeteria, the Campus Center and the Chapel. Students are expected to follow the Benedict College Dress Code.</w:t>
      </w:r>
    </w:p>
    <w:p>
      <w:pPr>
        <w:ind w:left="720"/>
        <w:rPr>
          <w:b/>
          <w:smallCaps/>
          <w:sz w:val="24"/>
          <w:szCs w:val="24"/>
        </w:rPr>
      </w:pPr>
    </w:p>
    <w:p>
      <w:pPr>
        <w:rPr>
          <w:sz w:val="24"/>
          <w:szCs w:val="24"/>
        </w:rPr>
      </w:pPr>
      <w:r>
        <w:rPr>
          <w:b/>
          <w:smallCaps/>
          <w:sz w:val="24"/>
          <w:szCs w:val="24"/>
        </w:rPr>
        <w:t>Use of Electronic Devices</w:t>
      </w:r>
      <w:r>
        <w:rPr>
          <w:sz w:val="24"/>
          <w:szCs w:val="24"/>
        </w:rPr>
        <w:t xml:space="preserve">:  </w:t>
      </w:r>
    </w:p>
    <w:p>
      <w:pPr>
        <w:pStyle w:val="16"/>
        <w:shd w:val="clear" w:color="auto" w:fill="FFFFFF"/>
        <w:spacing w:line="220" w:lineRule="exact"/>
        <w:rPr>
          <w:i/>
        </w:rPr>
      </w:pPr>
      <w:r>
        <w:rPr>
          <w:i/>
        </w:rPr>
        <w:t>It is the instructor’s responsibility to keep the learning environment at an optimum level. Therefore, cellular phones, etc. must be in silent mode and cannot be used during class. This includes talking, texting, etc.</w:t>
      </w:r>
    </w:p>
    <w:p>
      <w:pPr>
        <w:ind w:left="720"/>
        <w:rPr>
          <w:sz w:val="24"/>
          <w:szCs w:val="24"/>
          <w:u w:val="single"/>
        </w:rPr>
      </w:pPr>
    </w:p>
    <w:p>
      <w:pPr>
        <w:rPr>
          <w:sz w:val="22"/>
          <w:szCs w:val="24"/>
        </w:rPr>
      </w:pPr>
      <w:r>
        <w:rPr>
          <w:b/>
          <w:smallCaps/>
          <w:sz w:val="24"/>
          <w:szCs w:val="24"/>
        </w:rPr>
        <w:t>Students with Disabilities</w:t>
      </w:r>
      <w:r>
        <w:rPr>
          <w:sz w:val="24"/>
          <w:szCs w:val="24"/>
        </w:rPr>
        <w:t xml:space="preserve">:  </w:t>
      </w:r>
    </w:p>
    <w:p>
      <w:pPr>
        <w:ind w:left="720"/>
        <w:rPr>
          <w:sz w:val="10"/>
          <w:szCs w:val="24"/>
        </w:rPr>
      </w:pPr>
    </w:p>
    <w:p>
      <w:pPr>
        <w:shd w:val="clear" w:color="auto" w:fill="FFFFFF"/>
        <w:spacing w:line="220" w:lineRule="exact"/>
        <w:jc w:val="both"/>
        <w:rPr>
          <w:i/>
          <w:sz w:val="24"/>
          <w:szCs w:val="28"/>
        </w:rPr>
      </w:pPr>
      <w:r>
        <w:rPr>
          <w:i/>
          <w:sz w:val="24"/>
          <w:szCs w:val="28"/>
        </w:rPr>
        <w:t xml:space="preserve">The Office of Special Student Services, a component of the Educational Support Services Department, coordinates the services that are provided to students with disabilities and special needs. Accommodations are made available in accordance with the Disability Act of 1995 as related to post secondary educational institutions. Peer tutoring, study groups and laboratories are available to promote student learning and enhance student development. </w:t>
      </w:r>
    </w:p>
    <w:p>
      <w:pPr>
        <w:ind w:left="720"/>
        <w:rPr>
          <w:sz w:val="18"/>
          <w:szCs w:val="24"/>
          <w:u w:val="single"/>
        </w:rPr>
      </w:pPr>
    </w:p>
    <w:p>
      <w:pPr>
        <w:rPr>
          <w:sz w:val="24"/>
          <w:szCs w:val="24"/>
        </w:rPr>
      </w:pPr>
      <w:r>
        <w:rPr>
          <w:b/>
          <w:smallCaps/>
          <w:sz w:val="24"/>
          <w:szCs w:val="24"/>
        </w:rPr>
        <w:t>Class Attendance (Excused Absences)</w:t>
      </w:r>
      <w:r>
        <w:rPr>
          <w:smallCaps/>
          <w:sz w:val="24"/>
          <w:szCs w:val="24"/>
        </w:rPr>
        <w:t>:</w:t>
      </w:r>
      <w:r>
        <w:rPr>
          <w:sz w:val="24"/>
          <w:szCs w:val="24"/>
        </w:rPr>
        <w:t xml:space="preserve">  </w:t>
      </w:r>
    </w:p>
    <w:p>
      <w:pPr>
        <w:ind w:left="720"/>
        <w:rPr>
          <w:sz w:val="12"/>
          <w:szCs w:val="24"/>
        </w:rPr>
      </w:pPr>
    </w:p>
    <w:p>
      <w:pPr>
        <w:pStyle w:val="16"/>
        <w:shd w:val="clear" w:color="auto" w:fill="FFFFFF"/>
        <w:spacing w:before="0" w:beforeAutospacing="0" w:after="0" w:afterAutospacing="0" w:line="220" w:lineRule="exact"/>
        <w:jc w:val="both"/>
        <w:rPr>
          <w:i/>
          <w:szCs w:val="28"/>
        </w:rPr>
      </w:pPr>
      <w:r>
        <w:rPr>
          <w:i/>
          <w:szCs w:val="28"/>
        </w:rPr>
        <w:t xml:space="preserve">Students may secure an official excuse for class absences caused by school sponsored extracurricular activities, personal illness, death in family, severe family illness, and court summons (not incarceration). Excuses may be obtained in the Office of Student Affairs in the Administration Building, Room 100. Satisfactory documentation is required. Satisfactory documentation must be in the form of an “official” document of the issuing agency. That is, an official seal, letterhead and signature must appear on the document. Absolutely no copies will be accepted as satisfactory documentation. Any evidence of alteration of an official document will not be accepted, and the student may be subject to the appropriate disciplinary actions if alteration of the official document is proved. </w:t>
      </w:r>
      <w:r>
        <w:rPr>
          <w:rStyle w:val="17"/>
          <w:i/>
          <w:szCs w:val="28"/>
        </w:rPr>
        <w:t>(Notes from relatives, friends, etc., are not</w:t>
      </w:r>
      <w:r>
        <w:rPr>
          <w:i/>
          <w:szCs w:val="28"/>
        </w:rPr>
        <w:t xml:space="preserve"> </w:t>
      </w:r>
      <w:r>
        <w:rPr>
          <w:rStyle w:val="17"/>
          <w:i/>
          <w:szCs w:val="28"/>
        </w:rPr>
        <w:t xml:space="preserve">accepted as "official" documentation for absences.) </w:t>
      </w:r>
      <w:r>
        <w:rPr>
          <w:i/>
          <w:szCs w:val="28"/>
        </w:rPr>
        <w:t>The Student Health Center is delegated to issue excuses to students who receive services from the Student Health Center staff based on the students’ health assessment.</w:t>
      </w:r>
    </w:p>
    <w:p>
      <w:pPr>
        <w:pStyle w:val="16"/>
        <w:shd w:val="clear" w:color="auto" w:fill="FFFFFF"/>
        <w:spacing w:before="0" w:beforeAutospacing="0" w:after="0" w:afterAutospacing="0" w:line="220" w:lineRule="exact"/>
        <w:jc w:val="both"/>
        <w:rPr>
          <w:i/>
          <w:szCs w:val="28"/>
        </w:rPr>
      </w:pPr>
    </w:p>
    <w:p>
      <w:pPr>
        <w:rPr>
          <w:b/>
          <w:sz w:val="24"/>
        </w:rPr>
      </w:pPr>
    </w:p>
    <w:p>
      <w:pPr>
        <w:jc w:val="center"/>
        <w:rPr>
          <w:sz w:val="32"/>
        </w:rPr>
      </w:pPr>
    </w:p>
    <w:sectPr>
      <w:footerReference r:id="rId4" w:type="first"/>
      <w:footerReference r:id="rId3" w:type="default"/>
      <w:pgSz w:w="12240" w:h="15840"/>
      <w:pgMar w:top="720" w:right="1800" w:bottom="907" w:left="1800" w:header="720" w:footer="720"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Pr>
        <w:rFonts w:ascii="Cambria" w:hAnsi="Cambria"/>
        <w:sz w:val="28"/>
        <w:szCs w:val="28"/>
      </w:rPr>
      <w:t>2</w:t>
    </w:r>
    <w:r>
      <w:rPr>
        <w:rFonts w:ascii="Cambria" w:hAnsi="Cambria"/>
        <w:sz w:val="28"/>
        <w:szCs w:val="28"/>
      </w:rPr>
      <w:fldChar w:fldCharType="end"/>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t>1600 Harden St., Columbia, S.C.  29204</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D802F4"/>
    <w:multiLevelType w:val="multilevel"/>
    <w:tmpl w:val="16D802F4"/>
    <w:lvl w:ilvl="0" w:tentative="0">
      <w:start w:val="1"/>
      <w:numFmt w:val="decimal"/>
      <w:lvlText w:val="%1."/>
      <w:lvlJc w:val="left"/>
      <w:pPr>
        <w:ind w:left="720" w:hanging="360"/>
      </w:pPr>
      <w:rPr>
        <w:rFonts w:hint="default"/>
        <w:color w:val="auto"/>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07D021C"/>
    <w:multiLevelType w:val="multilevel"/>
    <w:tmpl w:val="507D021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0"/>
  <w:displayVerticalDrawingGridEvery w:val="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C78"/>
    <w:rsid w:val="00011087"/>
    <w:rsid w:val="000349C2"/>
    <w:rsid w:val="00043371"/>
    <w:rsid w:val="0004568A"/>
    <w:rsid w:val="00066B10"/>
    <w:rsid w:val="000A7853"/>
    <w:rsid w:val="000C55DB"/>
    <w:rsid w:val="000D12D5"/>
    <w:rsid w:val="000E52D7"/>
    <w:rsid w:val="000E52ED"/>
    <w:rsid w:val="000F1B7C"/>
    <w:rsid w:val="001009D7"/>
    <w:rsid w:val="00102C78"/>
    <w:rsid w:val="00105287"/>
    <w:rsid w:val="00121D14"/>
    <w:rsid w:val="001327C6"/>
    <w:rsid w:val="0013407C"/>
    <w:rsid w:val="00137A73"/>
    <w:rsid w:val="00142C8D"/>
    <w:rsid w:val="00145B16"/>
    <w:rsid w:val="00146F5C"/>
    <w:rsid w:val="00155271"/>
    <w:rsid w:val="00165496"/>
    <w:rsid w:val="00170990"/>
    <w:rsid w:val="0017122C"/>
    <w:rsid w:val="00180919"/>
    <w:rsid w:val="00187D30"/>
    <w:rsid w:val="001A2D0B"/>
    <w:rsid w:val="001E6338"/>
    <w:rsid w:val="001E6CFC"/>
    <w:rsid w:val="0021663B"/>
    <w:rsid w:val="00225A39"/>
    <w:rsid w:val="00226B98"/>
    <w:rsid w:val="00260C4C"/>
    <w:rsid w:val="002662D7"/>
    <w:rsid w:val="00281F93"/>
    <w:rsid w:val="0029465E"/>
    <w:rsid w:val="002A19B8"/>
    <w:rsid w:val="002A3181"/>
    <w:rsid w:val="002C3A24"/>
    <w:rsid w:val="002D6D4E"/>
    <w:rsid w:val="002E07FD"/>
    <w:rsid w:val="00330BDE"/>
    <w:rsid w:val="00333705"/>
    <w:rsid w:val="00364EB2"/>
    <w:rsid w:val="0037391D"/>
    <w:rsid w:val="003739E2"/>
    <w:rsid w:val="003837C3"/>
    <w:rsid w:val="00385F39"/>
    <w:rsid w:val="00390427"/>
    <w:rsid w:val="00394809"/>
    <w:rsid w:val="003B37AC"/>
    <w:rsid w:val="003C333A"/>
    <w:rsid w:val="003D15EA"/>
    <w:rsid w:val="003E6B24"/>
    <w:rsid w:val="003E7649"/>
    <w:rsid w:val="003F506C"/>
    <w:rsid w:val="004038E8"/>
    <w:rsid w:val="00414D07"/>
    <w:rsid w:val="004452E4"/>
    <w:rsid w:val="0045091C"/>
    <w:rsid w:val="00461CC0"/>
    <w:rsid w:val="00471674"/>
    <w:rsid w:val="00483027"/>
    <w:rsid w:val="004B037C"/>
    <w:rsid w:val="004B2C48"/>
    <w:rsid w:val="004F58A7"/>
    <w:rsid w:val="00501771"/>
    <w:rsid w:val="00527C25"/>
    <w:rsid w:val="0053238F"/>
    <w:rsid w:val="0053635C"/>
    <w:rsid w:val="0054721A"/>
    <w:rsid w:val="00547AF4"/>
    <w:rsid w:val="005622D5"/>
    <w:rsid w:val="00587DDC"/>
    <w:rsid w:val="005A6947"/>
    <w:rsid w:val="005C18C6"/>
    <w:rsid w:val="005C274A"/>
    <w:rsid w:val="005C4137"/>
    <w:rsid w:val="005D1CA6"/>
    <w:rsid w:val="005D6F6C"/>
    <w:rsid w:val="005E1F20"/>
    <w:rsid w:val="005F524B"/>
    <w:rsid w:val="00606E98"/>
    <w:rsid w:val="00642B67"/>
    <w:rsid w:val="00644634"/>
    <w:rsid w:val="00665A7D"/>
    <w:rsid w:val="006679A1"/>
    <w:rsid w:val="00677133"/>
    <w:rsid w:val="00686FE1"/>
    <w:rsid w:val="006A3043"/>
    <w:rsid w:val="006B4C3F"/>
    <w:rsid w:val="006C6E62"/>
    <w:rsid w:val="006E2D6E"/>
    <w:rsid w:val="006F0F9E"/>
    <w:rsid w:val="007134B0"/>
    <w:rsid w:val="00714BD7"/>
    <w:rsid w:val="00723148"/>
    <w:rsid w:val="00724DA5"/>
    <w:rsid w:val="007368A9"/>
    <w:rsid w:val="007403AF"/>
    <w:rsid w:val="00790ACE"/>
    <w:rsid w:val="007B10D8"/>
    <w:rsid w:val="007B362B"/>
    <w:rsid w:val="007C5E22"/>
    <w:rsid w:val="007D4453"/>
    <w:rsid w:val="007D6C71"/>
    <w:rsid w:val="007E0D5B"/>
    <w:rsid w:val="007E7695"/>
    <w:rsid w:val="007F3A6E"/>
    <w:rsid w:val="0082381A"/>
    <w:rsid w:val="0083209F"/>
    <w:rsid w:val="00845EC6"/>
    <w:rsid w:val="0088637E"/>
    <w:rsid w:val="008906B2"/>
    <w:rsid w:val="008A2628"/>
    <w:rsid w:val="009250C0"/>
    <w:rsid w:val="00946AEE"/>
    <w:rsid w:val="00960861"/>
    <w:rsid w:val="00991C43"/>
    <w:rsid w:val="009A4A86"/>
    <w:rsid w:val="009A71A1"/>
    <w:rsid w:val="009D4589"/>
    <w:rsid w:val="009D7EB0"/>
    <w:rsid w:val="00A03BA2"/>
    <w:rsid w:val="00A10331"/>
    <w:rsid w:val="00A21F6F"/>
    <w:rsid w:val="00A452AE"/>
    <w:rsid w:val="00A70C66"/>
    <w:rsid w:val="00A74D58"/>
    <w:rsid w:val="00A972A0"/>
    <w:rsid w:val="00AA3AEA"/>
    <w:rsid w:val="00AA6CEA"/>
    <w:rsid w:val="00AE1F67"/>
    <w:rsid w:val="00B87664"/>
    <w:rsid w:val="00B90FDF"/>
    <w:rsid w:val="00BA306D"/>
    <w:rsid w:val="00BB380E"/>
    <w:rsid w:val="00BC5C93"/>
    <w:rsid w:val="00BE37D1"/>
    <w:rsid w:val="00C24FEC"/>
    <w:rsid w:val="00C269DE"/>
    <w:rsid w:val="00C50453"/>
    <w:rsid w:val="00C5102B"/>
    <w:rsid w:val="00C71B60"/>
    <w:rsid w:val="00C76C82"/>
    <w:rsid w:val="00C90498"/>
    <w:rsid w:val="00C90773"/>
    <w:rsid w:val="00CA0EF4"/>
    <w:rsid w:val="00CD1DFE"/>
    <w:rsid w:val="00CD2549"/>
    <w:rsid w:val="00CD6FCC"/>
    <w:rsid w:val="00D10DD7"/>
    <w:rsid w:val="00D521BE"/>
    <w:rsid w:val="00D5633D"/>
    <w:rsid w:val="00D63D86"/>
    <w:rsid w:val="00D86652"/>
    <w:rsid w:val="00D92113"/>
    <w:rsid w:val="00D941E7"/>
    <w:rsid w:val="00D9478B"/>
    <w:rsid w:val="00DB0882"/>
    <w:rsid w:val="00DB7958"/>
    <w:rsid w:val="00DD13A3"/>
    <w:rsid w:val="00DD4B28"/>
    <w:rsid w:val="00DF2B29"/>
    <w:rsid w:val="00DF5CD7"/>
    <w:rsid w:val="00DF6C8C"/>
    <w:rsid w:val="00E00F59"/>
    <w:rsid w:val="00E10028"/>
    <w:rsid w:val="00E2428B"/>
    <w:rsid w:val="00E3052E"/>
    <w:rsid w:val="00E316D5"/>
    <w:rsid w:val="00E52302"/>
    <w:rsid w:val="00E70FFC"/>
    <w:rsid w:val="00E97C9E"/>
    <w:rsid w:val="00EA1730"/>
    <w:rsid w:val="00EA6BA8"/>
    <w:rsid w:val="00EC60BB"/>
    <w:rsid w:val="00EE2539"/>
    <w:rsid w:val="00EF7D25"/>
    <w:rsid w:val="00F23EC8"/>
    <w:rsid w:val="00F247CA"/>
    <w:rsid w:val="00F302F6"/>
    <w:rsid w:val="00F60860"/>
    <w:rsid w:val="00F95B0F"/>
    <w:rsid w:val="00F97C0C"/>
    <w:rsid w:val="00FA6CE7"/>
    <w:rsid w:val="00FB55AB"/>
    <w:rsid w:val="00FC26FA"/>
    <w:rsid w:val="00FC2A7F"/>
    <w:rsid w:val="190C3EAA"/>
    <w:rsid w:val="46BC55CB"/>
    <w:rsid w:val="4D7B6247"/>
    <w:rsid w:val="67813FB3"/>
    <w:rsid w:val="6AC6151C"/>
    <w:rsid w:val="6C143A32"/>
    <w:rsid w:val="7F143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semiHidden="0" w:name="List"/>
    <w:lsdException w:uiPriority="0" w:name="List Bullet"/>
    <w:lsdException w:uiPriority="0" w:name="List Number"/>
    <w:lsdException w:uiPriority="0" w:semiHidden="0" w:name="List 2"/>
    <w:lsdException w:uiPriority="0" w:semiHidden="0" w:name="List 3"/>
    <w:lsdException w:unhideWhenUsed="0" w:uiPriority="0" w:semiHidden="0" w:name="List 4"/>
    <w:lsdException w:unhideWhenUsed="0" w:uiPriority="0" w:semiHidden="0" w:name="List 5"/>
    <w:lsdException w:uiPriority="0" w:semiHidden="0" w:name="List Bullet 2"/>
    <w:lsdException w:uiPriority="0" w:semiHidden="0" w:name="List Bullet 3"/>
    <w:lsdException w:uiPriority="0" w:semiHidden="0" w:name="List Bullet 4"/>
    <w:lsdException w:uiPriority="0" w:semiHidden="0" w:name="List Bullet 5"/>
    <w:lsdException w:uiPriority="0" w:semiHidden="0" w:name="List Number 2"/>
    <w:lsdException w:uiPriority="0" w:semiHidden="0" w:name="List Number 3"/>
    <w:lsdException w:uiPriority="0" w:semiHidden="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semiHidden="0" w:name="Body Text 3"/>
    <w:lsdException w:uiPriority="0" w:semiHidden="0" w:name="Body Text Indent 2"/>
    <w:lsdException w:uiPriority="0" w:semiHidden="0" w:name="Body Text Indent 3"/>
    <w:lsdException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paragraph" w:styleId="2">
    <w:name w:val="heading 1"/>
    <w:basedOn w:val="1"/>
    <w:next w:val="1"/>
    <w:qFormat/>
    <w:uiPriority w:val="0"/>
    <w:pPr>
      <w:keepNext/>
      <w:outlineLvl w:val="0"/>
    </w:pPr>
    <w:rPr>
      <w:b/>
      <w:sz w:val="18"/>
    </w:rPr>
  </w:style>
  <w:style w:type="paragraph" w:styleId="3">
    <w:name w:val="heading 2"/>
    <w:basedOn w:val="1"/>
    <w:next w:val="1"/>
    <w:qFormat/>
    <w:uiPriority w:val="0"/>
    <w:pPr>
      <w:keepNext/>
      <w:outlineLvl w:val="1"/>
    </w:pPr>
    <w:rPr>
      <w:b/>
      <w:bCs/>
      <w:szCs w:val="24"/>
    </w:rPr>
  </w:style>
  <w:style w:type="paragraph" w:styleId="4">
    <w:name w:val="heading 3"/>
    <w:basedOn w:val="1"/>
    <w:next w:val="1"/>
    <w:qFormat/>
    <w:uiPriority w:val="0"/>
    <w:pPr>
      <w:keepNext/>
      <w:outlineLvl w:val="2"/>
    </w:pPr>
    <w:rPr>
      <w:b/>
      <w:sz w:val="22"/>
    </w:rPr>
  </w:style>
  <w:style w:type="paragraph" w:styleId="5">
    <w:name w:val="heading 4"/>
    <w:basedOn w:val="1"/>
    <w:next w:val="1"/>
    <w:qFormat/>
    <w:uiPriority w:val="0"/>
    <w:pPr>
      <w:keepNext/>
      <w:jc w:val="center"/>
      <w:outlineLvl w:val="3"/>
    </w:pPr>
    <w:rPr>
      <w:b/>
      <w:sz w:val="24"/>
    </w:rPr>
  </w:style>
  <w:style w:type="paragraph" w:styleId="6">
    <w:name w:val="heading 5"/>
    <w:basedOn w:val="1"/>
    <w:next w:val="1"/>
    <w:link w:val="23"/>
    <w:qFormat/>
    <w:uiPriority w:val="0"/>
    <w:pPr>
      <w:keepNext/>
      <w:outlineLvl w:val="4"/>
    </w:pPr>
    <w:rPr>
      <w:b/>
      <w:bCs/>
      <w:sz w:val="24"/>
      <w:szCs w:val="24"/>
    </w:rPr>
  </w:style>
  <w:style w:type="character" w:default="1" w:styleId="7">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9">
    <w:name w:val="Balloon Text"/>
    <w:basedOn w:val="1"/>
    <w:link w:val="22"/>
    <w:uiPriority w:val="0"/>
    <w:rPr>
      <w:rFonts w:ascii="Tahoma" w:hAnsi="Tahoma"/>
      <w:sz w:val="16"/>
      <w:szCs w:val="16"/>
    </w:rPr>
  </w:style>
  <w:style w:type="paragraph" w:styleId="10">
    <w:name w:val="Body Text"/>
    <w:basedOn w:val="1"/>
    <w:link w:val="27"/>
    <w:unhideWhenUsed/>
    <w:qFormat/>
    <w:uiPriority w:val="0"/>
    <w:pPr>
      <w:spacing w:after="120"/>
    </w:pPr>
  </w:style>
  <w:style w:type="paragraph" w:styleId="11">
    <w:name w:val="Body Text Indent"/>
    <w:basedOn w:val="1"/>
    <w:link w:val="25"/>
    <w:qFormat/>
    <w:uiPriority w:val="0"/>
    <w:pPr>
      <w:tabs>
        <w:tab w:val="left" w:pos="2160"/>
      </w:tabs>
      <w:ind w:left="2160" w:hanging="180"/>
    </w:pPr>
    <w:rPr>
      <w:rFonts w:ascii="Arial" w:hAnsi="Arial"/>
      <w:sz w:val="24"/>
    </w:rPr>
  </w:style>
  <w:style w:type="character" w:styleId="12">
    <w:name w:val="FollowedHyperlink"/>
    <w:uiPriority w:val="0"/>
    <w:rPr>
      <w:color w:val="800080"/>
      <w:u w:val="single"/>
    </w:rPr>
  </w:style>
  <w:style w:type="paragraph" w:styleId="13">
    <w:name w:val="footer"/>
    <w:basedOn w:val="1"/>
    <w:link w:val="21"/>
    <w:uiPriority w:val="99"/>
    <w:pPr>
      <w:tabs>
        <w:tab w:val="center" w:pos="4680"/>
        <w:tab w:val="right" w:pos="9360"/>
      </w:tabs>
    </w:pPr>
  </w:style>
  <w:style w:type="paragraph" w:styleId="14">
    <w:name w:val="header"/>
    <w:basedOn w:val="1"/>
    <w:link w:val="20"/>
    <w:uiPriority w:val="0"/>
    <w:pPr>
      <w:tabs>
        <w:tab w:val="center" w:pos="4680"/>
        <w:tab w:val="right" w:pos="9360"/>
      </w:tabs>
    </w:pPr>
  </w:style>
  <w:style w:type="character" w:styleId="15">
    <w:name w:val="Hyperlink"/>
    <w:uiPriority w:val="0"/>
    <w:rPr>
      <w:color w:val="0000FF"/>
      <w:u w:val="single"/>
    </w:rPr>
  </w:style>
  <w:style w:type="paragraph" w:styleId="16">
    <w:name w:val="Normal (Web)"/>
    <w:basedOn w:val="1"/>
    <w:unhideWhenUsed/>
    <w:uiPriority w:val="99"/>
    <w:pPr>
      <w:spacing w:before="100" w:beforeAutospacing="1" w:after="100" w:afterAutospacing="1"/>
    </w:pPr>
    <w:rPr>
      <w:sz w:val="24"/>
      <w:szCs w:val="24"/>
    </w:rPr>
  </w:style>
  <w:style w:type="character" w:styleId="17">
    <w:name w:val="Strong"/>
    <w:qFormat/>
    <w:uiPriority w:val="22"/>
    <w:rPr>
      <w:b/>
      <w:bCs/>
    </w:rPr>
  </w:style>
  <w:style w:type="table" w:styleId="18">
    <w:name w:val="Table Grid"/>
    <w:basedOn w:val="8"/>
    <w:uiPriority w:val="5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9">
    <w:name w:val="Title"/>
    <w:basedOn w:val="1"/>
    <w:qFormat/>
    <w:uiPriority w:val="0"/>
    <w:pPr>
      <w:jc w:val="center"/>
    </w:pPr>
    <w:rPr>
      <w:b/>
      <w:sz w:val="24"/>
    </w:rPr>
  </w:style>
  <w:style w:type="character" w:customStyle="1" w:styleId="20">
    <w:name w:val="Header Char"/>
    <w:basedOn w:val="7"/>
    <w:link w:val="14"/>
    <w:uiPriority w:val="0"/>
  </w:style>
  <w:style w:type="character" w:customStyle="1" w:styleId="21">
    <w:name w:val="Footer Char"/>
    <w:basedOn w:val="7"/>
    <w:link w:val="13"/>
    <w:uiPriority w:val="99"/>
  </w:style>
  <w:style w:type="character" w:customStyle="1" w:styleId="22">
    <w:name w:val="Balloon Text Char"/>
    <w:link w:val="9"/>
    <w:uiPriority w:val="0"/>
    <w:rPr>
      <w:rFonts w:ascii="Tahoma" w:hAnsi="Tahoma" w:cs="Tahoma"/>
      <w:sz w:val="16"/>
      <w:szCs w:val="16"/>
    </w:rPr>
  </w:style>
  <w:style w:type="character" w:customStyle="1" w:styleId="23">
    <w:name w:val="Heading 5 Char"/>
    <w:link w:val="6"/>
    <w:uiPriority w:val="0"/>
    <w:rPr>
      <w:b/>
      <w:bCs/>
      <w:sz w:val="24"/>
      <w:szCs w:val="24"/>
    </w:rPr>
  </w:style>
  <w:style w:type="paragraph" w:styleId="24">
    <w:name w:val="List Paragraph"/>
    <w:basedOn w:val="1"/>
    <w:qFormat/>
    <w:uiPriority w:val="34"/>
    <w:pPr>
      <w:spacing w:after="200" w:line="276" w:lineRule="auto"/>
      <w:ind w:left="720"/>
      <w:contextualSpacing/>
    </w:pPr>
    <w:rPr>
      <w:rFonts w:ascii="Calibri" w:hAnsi="Calibri" w:eastAsia="Calibri"/>
      <w:sz w:val="22"/>
      <w:szCs w:val="22"/>
    </w:rPr>
  </w:style>
  <w:style w:type="character" w:customStyle="1" w:styleId="25">
    <w:name w:val="Body Text Indent Char"/>
    <w:link w:val="11"/>
    <w:qFormat/>
    <w:uiPriority w:val="0"/>
    <w:rPr>
      <w:rFonts w:ascii="Arial" w:hAnsi="Arial"/>
      <w:sz w:val="24"/>
    </w:rPr>
  </w:style>
  <w:style w:type="character" w:customStyle="1" w:styleId="26">
    <w:name w:val="fnt0"/>
    <w:qFormat/>
    <w:uiPriority w:val="0"/>
    <w:rPr>
      <w:color w:val="000000"/>
    </w:rPr>
  </w:style>
  <w:style w:type="character" w:customStyle="1" w:styleId="27">
    <w:name w:val="Body Text Char"/>
    <w:basedOn w:val="7"/>
    <w:link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Brooks</Company>
  <Pages>2</Pages>
  <Words>733</Words>
  <Characters>4183</Characters>
  <Lines>34</Lines>
  <Paragraphs>9</Paragraphs>
  <TotalTime>44</TotalTime>
  <ScaleCrop>false</ScaleCrop>
  <LinksUpToDate>false</LinksUpToDate>
  <CharactersWithSpaces>4907</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2021-01-05T21:36:00Z</dcterms:created>
  <dc:creator>charles brooks</dc:creator>
  <cp:lastModifiedBy>User</cp:lastModifiedBy>
  <cp:lastPrinted>2013-08-07T16:12:00Z</cp:lastPrinted>
  <dcterms:modified xsi:type="dcterms:W3CDTF">2021-05-16T05:11:10Z</dcterms:modified>
  <dc:title>THEATER 101T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